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4E9F3" w14:textId="77777777" w:rsidR="00441C64" w:rsidRDefault="00441C64" w:rsidP="00F77D46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14:paraId="6509B0CD" w14:textId="140E1AC0" w:rsidR="00F77D46" w:rsidRPr="00413AC9" w:rsidRDefault="00F77D46" w:rsidP="00F77D46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13AC9">
        <w:rPr>
          <w:rFonts w:ascii="Times New Roman" w:hAnsi="Times New Roman" w:cs="Times New Roman"/>
          <w:b/>
          <w:i/>
          <w:sz w:val="24"/>
          <w:szCs w:val="24"/>
        </w:rPr>
        <w:t>Додаток 1</w:t>
      </w:r>
    </w:p>
    <w:p w14:paraId="3FD09FC2" w14:textId="77777777" w:rsidR="00F77D46" w:rsidRPr="00413AC9" w:rsidRDefault="00F77D46" w:rsidP="00F77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14:paraId="418DB5E9" w14:textId="77777777" w:rsidR="00F77D46" w:rsidRPr="00413AC9" w:rsidRDefault="00F77D46" w:rsidP="00F77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14:paraId="74887CB7" w14:textId="77777777" w:rsidR="00C311BC" w:rsidRPr="00413AC9" w:rsidRDefault="00C311BC" w:rsidP="00C311B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14:paraId="332566DA" w14:textId="77777777" w:rsidR="000F7F94" w:rsidRDefault="00C311BC" w:rsidP="00441C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413A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ЛОТ 1</w:t>
      </w:r>
    </w:p>
    <w:p w14:paraId="3CE7821A" w14:textId="20A154B3" w:rsidR="00C311BC" w:rsidRDefault="00441C64" w:rsidP="000F7F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Т</w:t>
      </w:r>
      <w:r w:rsidR="00C311BC" w:rsidRPr="00413A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ехнічні вимоги</w:t>
      </w:r>
    </w:p>
    <w:p w14:paraId="71126300" w14:textId="77777777" w:rsidR="00441C64" w:rsidRPr="00413AC9" w:rsidRDefault="00441C64" w:rsidP="000F7F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14:paraId="14DD1F1A" w14:textId="72B4C025" w:rsidR="00441C64" w:rsidRPr="00441C64" w:rsidRDefault="00C311BC" w:rsidP="00441C64">
      <w:pPr>
        <w:pStyle w:val="a3"/>
        <w:pBdr>
          <w:top w:val="nil"/>
          <w:left w:val="nil"/>
          <w:bottom w:val="nil"/>
          <w:right w:val="nil"/>
          <w:between w:val="nil"/>
        </w:pBdr>
        <w:spacing w:after="0" w:line="278" w:lineRule="auto"/>
        <w:ind w:left="1440"/>
        <w:jc w:val="both"/>
        <w:rPr>
          <w:rFonts w:ascii="Times New Roman" w:eastAsia="Times New Roman" w:hAnsi="Times New Roman"/>
          <w:b/>
          <w:lang w:val="uk-UA"/>
        </w:rPr>
      </w:pPr>
      <w:proofErr w:type="spellStart"/>
      <w:r w:rsidRPr="00441C64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>для</w:t>
      </w:r>
      <w:proofErr w:type="spellEnd"/>
      <w:r w:rsidRPr="00441C64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proofErr w:type="spellStart"/>
      <w:r w:rsidR="00441C64" w:rsidRPr="00441C64">
        <w:rPr>
          <w:rFonts w:ascii="Times New Roman" w:eastAsia="Times New Roman" w:hAnsi="Times New Roman"/>
          <w:b/>
        </w:rPr>
        <w:t>Біомеханічна</w:t>
      </w:r>
      <w:proofErr w:type="spellEnd"/>
      <w:r w:rsidR="00441C64" w:rsidRPr="00441C64">
        <w:rPr>
          <w:rFonts w:ascii="Times New Roman" w:eastAsia="Times New Roman" w:hAnsi="Times New Roman"/>
          <w:b/>
        </w:rPr>
        <w:t xml:space="preserve"> </w:t>
      </w:r>
      <w:proofErr w:type="spellStart"/>
      <w:r w:rsidR="00441C64" w:rsidRPr="00441C64">
        <w:rPr>
          <w:rFonts w:ascii="Times New Roman" w:eastAsia="Times New Roman" w:hAnsi="Times New Roman"/>
          <w:b/>
        </w:rPr>
        <w:t>система</w:t>
      </w:r>
      <w:proofErr w:type="spellEnd"/>
      <w:r w:rsidR="00441C64" w:rsidRPr="00441C64">
        <w:rPr>
          <w:rFonts w:ascii="Times New Roman" w:eastAsia="Times New Roman" w:hAnsi="Times New Roman"/>
          <w:b/>
        </w:rPr>
        <w:t xml:space="preserve"> Vicon Vero v2.2.2.2 у </w:t>
      </w:r>
      <w:proofErr w:type="spellStart"/>
      <w:r w:rsidR="00441C64" w:rsidRPr="00441C64">
        <w:rPr>
          <w:rFonts w:ascii="Times New Roman" w:eastAsia="Times New Roman" w:hAnsi="Times New Roman"/>
          <w:b/>
        </w:rPr>
        <w:t>комплекті</w:t>
      </w:r>
      <w:proofErr w:type="spellEnd"/>
    </w:p>
    <w:p w14:paraId="1876EF2C" w14:textId="01FED901" w:rsidR="00C311BC" w:rsidRPr="00413AC9" w:rsidRDefault="00C311BC" w:rsidP="000F7F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14:paraId="25C228A7" w14:textId="77777777" w:rsidR="00CF4466" w:rsidRPr="00413AC9" w:rsidRDefault="00CF446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6379"/>
        <w:gridCol w:w="2693"/>
      </w:tblGrid>
      <w:tr w:rsidR="00441C64" w:rsidRPr="00413AC9" w14:paraId="5B96F4A1" w14:textId="77777777" w:rsidTr="00441C64">
        <w:trPr>
          <w:trHeight w:val="20"/>
        </w:trPr>
        <w:tc>
          <w:tcPr>
            <w:tcW w:w="846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9E54F4" w14:textId="77777777" w:rsidR="00441C64" w:rsidRPr="00413AC9" w:rsidRDefault="00441C64" w:rsidP="00413AC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3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14:paraId="692DD6A6" w14:textId="77777777" w:rsidR="00441C64" w:rsidRPr="00413AC9" w:rsidRDefault="00441C64" w:rsidP="00413AC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3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637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909F7C" w14:textId="77777777" w:rsidR="00441C64" w:rsidRPr="00413AC9" w:rsidRDefault="00441C64" w:rsidP="00413AC9">
            <w:pPr>
              <w:suppressAutoHyphens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3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Характеристики предмета закупівлі (вимоги)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431138" w14:textId="69E6B24D" w:rsidR="00441C64" w:rsidRPr="00413AC9" w:rsidRDefault="00441C64" w:rsidP="00441C64">
            <w:pPr>
              <w:suppressAutoHyphens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3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Наявність ф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ункції або відповідність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вимозі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r w:rsidRPr="00413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Так/Ні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441C64" w:rsidRPr="00413AC9" w14:paraId="67A9BF55" w14:textId="77777777" w:rsidTr="00441C64">
        <w:trPr>
          <w:trHeight w:val="159"/>
        </w:trPr>
        <w:tc>
          <w:tcPr>
            <w:tcW w:w="84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BDF889" w14:textId="52531767" w:rsidR="00441C64" w:rsidRPr="00413AC9" w:rsidRDefault="00441C64" w:rsidP="00441C64">
            <w:pPr>
              <w:widowControl w:val="0"/>
              <w:suppressAutoHyphens/>
              <w:autoSpaceDE w:val="0"/>
              <w:spacing w:after="0" w:line="240" w:lineRule="auto"/>
              <w:ind w:left="142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3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1E731" w14:textId="3081A227" w:rsidR="00441C64" w:rsidRPr="00441C64" w:rsidRDefault="00441C64" w:rsidP="00441C64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65" w:firstLine="36"/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</w:pP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Vicon Vero v2.2 2.Мегапіксельна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оптична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камера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частотою кадрів 330 FPS зі </w:t>
            </w:r>
            <w:proofErr w:type="spellStart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зміннофокусним</w:t>
            </w:r>
            <w:proofErr w:type="spellEnd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об'єктивом (від 6 до 12 мм) та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стробоскопом на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ІЧ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світлодіодах 850 нм. – 12 </w:t>
            </w:r>
            <w:proofErr w:type="spellStart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штук</w:t>
            </w:r>
            <w:proofErr w:type="spellEnd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;</w:t>
            </w:r>
          </w:p>
          <w:p w14:paraId="602713C3" w14:textId="2D424654" w:rsidR="00441C64" w:rsidRPr="00441C64" w:rsidRDefault="00441C64" w:rsidP="00441C64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65" w:firstLine="36"/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</w:pPr>
            <w:proofErr w:type="spellStart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Кабель</w:t>
            </w:r>
            <w:proofErr w:type="spellEnd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для</w:t>
            </w:r>
            <w:proofErr w:type="spellEnd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камери</w:t>
            </w:r>
            <w:proofErr w:type="spellEnd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Vicon </w:t>
            </w:r>
            <w:proofErr w:type="spellStart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Vero</w:t>
            </w:r>
            <w:proofErr w:type="spellEnd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-30 м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.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Кабель для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камери </w:t>
            </w:r>
            <w:proofErr w:type="spellStart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Vicon</w:t>
            </w:r>
            <w:proofErr w:type="spellEnd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довжиною 30 м з феритовим ядром для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використання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камерами </w:t>
            </w:r>
            <w:proofErr w:type="spellStart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Vantage</w:t>
            </w:r>
            <w:proofErr w:type="spellEnd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, </w:t>
            </w:r>
            <w:proofErr w:type="spellStart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Vero</w:t>
            </w:r>
            <w:proofErr w:type="spellEnd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, </w:t>
            </w:r>
            <w:proofErr w:type="spellStart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Vue</w:t>
            </w:r>
            <w:proofErr w:type="spellEnd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та </w:t>
            </w:r>
            <w:proofErr w:type="spellStart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Bonita</w:t>
            </w:r>
            <w:proofErr w:type="spellEnd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. – 12 штук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;</w:t>
            </w:r>
          </w:p>
          <w:p w14:paraId="2E1C8D62" w14:textId="77777777" w:rsidR="00441C64" w:rsidRPr="00441C64" w:rsidRDefault="00441C64" w:rsidP="00441C64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65" w:firstLine="36"/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</w:pP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Lock Lab Lock Lab - </w:t>
            </w:r>
            <w:proofErr w:type="spellStart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цеконтрольний</w:t>
            </w:r>
            <w:proofErr w:type="spellEnd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пристрій </w:t>
            </w:r>
            <w:proofErr w:type="spellStart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Vicon</w:t>
            </w:r>
            <w:proofErr w:type="spellEnd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для підключення, інтеграції та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синхронізації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пристроїв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сторонніх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виробників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системою </w:t>
            </w:r>
            <w:proofErr w:type="spellStart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Valkyrie</w:t>
            </w:r>
            <w:proofErr w:type="spellEnd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, </w:t>
            </w:r>
            <w:proofErr w:type="spellStart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Vantage</w:t>
            </w:r>
            <w:proofErr w:type="spellEnd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, </w:t>
            </w:r>
            <w:proofErr w:type="spellStart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Vero</w:t>
            </w:r>
            <w:proofErr w:type="spellEnd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або </w:t>
            </w:r>
            <w:proofErr w:type="spellStart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Bonita</w:t>
            </w:r>
            <w:proofErr w:type="spellEnd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. Включає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виходи синхронізації GPO, вхід VESA та 64- канальний аналого-цифровий конвертер (ADC). </w:t>
            </w:r>
            <w:proofErr w:type="spellStart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Постачається</w:t>
            </w:r>
            <w:proofErr w:type="spellEnd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кабелем</w:t>
            </w:r>
            <w:proofErr w:type="spellEnd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даних</w:t>
            </w:r>
            <w:proofErr w:type="spellEnd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Cat5E </w:t>
            </w:r>
            <w:proofErr w:type="spellStart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довжиною</w:t>
            </w:r>
            <w:proofErr w:type="spellEnd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5 м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– 1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штука</w:t>
            </w:r>
            <w:proofErr w:type="spellEnd"/>
            <w:r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>;</w:t>
            </w:r>
          </w:p>
          <w:p w14:paraId="70F4988D" w14:textId="23667ED6" w:rsidR="00441C64" w:rsidRPr="00441C64" w:rsidRDefault="00441C64" w:rsidP="00441C64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265" w:firstLine="36"/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</w:pP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Vicon Active Wand IR </w:t>
            </w:r>
            <w:proofErr w:type="spellStart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Vicon</w:t>
            </w:r>
            <w:proofErr w:type="spellEnd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Active</w:t>
            </w:r>
            <w:proofErr w:type="spellEnd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-калібрувальний стержень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 п'ятьма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точками з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ІЧ-та VR-світлодіодами для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калібрування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оптичних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камер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та необхідний для посилання на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відео, якщо це</w:t>
            </w:r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застосовно</w:t>
            </w:r>
            <w:proofErr w:type="spellEnd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. – 1 </w:t>
            </w:r>
            <w:proofErr w:type="spellStart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штука</w:t>
            </w:r>
            <w:proofErr w:type="spellEnd"/>
            <w:r w:rsidRPr="00441C64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.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8D51EE" w14:textId="29FCF5D5" w:rsidR="00441C64" w:rsidRPr="00413AC9" w:rsidRDefault="00441C64" w:rsidP="00413AC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eastAsia="ja-JP"/>
              </w:rPr>
            </w:pPr>
          </w:p>
        </w:tc>
      </w:tr>
      <w:tr w:rsidR="00441C64" w:rsidRPr="00413AC9" w14:paraId="6945E6EF" w14:textId="77777777" w:rsidTr="00441C64">
        <w:trPr>
          <w:trHeight w:val="159"/>
        </w:trPr>
        <w:tc>
          <w:tcPr>
            <w:tcW w:w="84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1E1836" w14:textId="1868B54B" w:rsidR="00441C64" w:rsidRPr="00413AC9" w:rsidRDefault="00441C64" w:rsidP="00441C64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3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4D18D" w14:textId="77777777" w:rsidR="00D63B95" w:rsidRPr="00D63B95" w:rsidRDefault="00D63B95" w:rsidP="00D63B9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265" w:hanging="29"/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</w:pP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10-портовий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комутаторз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підтримкою 28 портів MP - D LINK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Комутаторз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технологією POE, придатний для до 24 камер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Vero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. D-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Link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DGS-1520-28MP 28- портовий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комутаторзі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швидкістю 10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гігабіт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. – 1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шт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.</w:t>
            </w:r>
          </w:p>
          <w:p w14:paraId="7EF0C7EE" w14:textId="77777777" w:rsidR="00D63B95" w:rsidRPr="00D63B95" w:rsidRDefault="00D63B95" w:rsidP="00D63B9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265" w:hanging="29"/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</w:pP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Advanced +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Відео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ПК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Спеціально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налаштована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високоякісна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робоча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станція для підтримки вимог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великомасштабного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захоплення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руху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-д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о 8 відеокамер FLIR - До 60 камер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Valkyrie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/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Vantage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/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Vero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-Сумісний з Theia3D - Включає 2 картки FLIR USB 3.1 з 4 портами Включає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клавіатуру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та мишу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, о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кремий монітор. – 1 шт. </w:t>
            </w:r>
          </w:p>
          <w:p w14:paraId="1BB282FB" w14:textId="77777777" w:rsidR="00D63B95" w:rsidRPr="00D63B95" w:rsidRDefault="00D63B95" w:rsidP="00D63B9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265" w:hanging="29"/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</w:pP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Супер-затискач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Manfrotto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035 Super Clamp зі штифтом 037 використовується для надійного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кріплення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кріпильної головки камери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нарейку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. МАКСИМАЛЬНА ШИРИНА РЕЙКИ -2" (5 см). – 14 шт. </w:t>
            </w:r>
          </w:p>
          <w:p w14:paraId="01876E84" w14:textId="77777777" w:rsidR="00D63B95" w:rsidRPr="00D63B95" w:rsidRDefault="00D63B95" w:rsidP="00D63B9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265" w:hanging="29"/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</w:pP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Кульоваголовка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Microball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</w:p>
          <w:p w14:paraId="628CA5D8" w14:textId="77777777" w:rsidR="00D63B95" w:rsidRPr="00D63B95" w:rsidRDefault="00D63B95" w:rsidP="00D63B9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265" w:hanging="29"/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</w:pP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Середні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штативи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Manfrotto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– 14 шт. </w:t>
            </w:r>
          </w:p>
          <w:p w14:paraId="6C253158" w14:textId="7F079FDC" w:rsidR="00D63B95" w:rsidRPr="00D63B95" w:rsidRDefault="00D63B95" w:rsidP="00D63B9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265" w:hanging="29"/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</w:pP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lastRenderedPageBreak/>
              <w:t>Монтажна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головка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Manfrotto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492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Microball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для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камер- максимальна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вага 4,4 фунта / 2 кг -14 шт.</w:t>
            </w:r>
          </w:p>
          <w:p w14:paraId="7B93C4E0" w14:textId="033F7FED" w:rsidR="00441C64" w:rsidRPr="00D63B95" w:rsidRDefault="00D63B95" w:rsidP="00D63B9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265" w:hanging="29"/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</w:pP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Монітор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Dell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UltraSharp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32 4K з USB-C Модель U3219Q -чорний 71.25 см х 22 см х 46.873 см 4K 3840 x 2160 при 60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Гц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HDMI,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DisplayPort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та USB-C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Постачаєтьсяз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1 кабелем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DisplayPort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на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DisplayPort</w:t>
            </w:r>
            <w:proofErr w:type="spellEnd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довжиною 1 м та 1 кабелем USB-C (від С до С). – 1 </w:t>
            </w:r>
            <w:proofErr w:type="spellStart"/>
            <w:r w:rsidRPr="00D63B95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шт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F4CFEA" w14:textId="2372FFC0" w:rsidR="00441C64" w:rsidRPr="00413AC9" w:rsidRDefault="00441C64" w:rsidP="00413AC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eastAsia="ja-JP"/>
              </w:rPr>
            </w:pPr>
          </w:p>
        </w:tc>
      </w:tr>
      <w:tr w:rsidR="00441C64" w:rsidRPr="00413AC9" w14:paraId="34EB48FF" w14:textId="77777777" w:rsidTr="00441C64">
        <w:trPr>
          <w:trHeight w:val="159"/>
        </w:trPr>
        <w:tc>
          <w:tcPr>
            <w:tcW w:w="84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B93D3C" w14:textId="08FE6DA1" w:rsidR="00441C64" w:rsidRPr="00413AC9" w:rsidRDefault="00C775C1" w:rsidP="00C775C1">
            <w:pPr>
              <w:widowControl w:val="0"/>
              <w:suppressAutoHyphens/>
              <w:autoSpaceDE w:val="0"/>
              <w:spacing w:after="0" w:line="240" w:lineRule="auto"/>
              <w:ind w:left="12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3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EFB8B" w14:textId="16F8B5D1" w:rsidR="00441C64" w:rsidRPr="00C775C1" w:rsidRDefault="00C775C1" w:rsidP="00C775C1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265" w:hanging="29"/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</w:pP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Базовий</w:t>
            </w:r>
            <w:proofErr w:type="spellEnd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набір</w:t>
            </w:r>
            <w:proofErr w:type="spellEnd"/>
            <w:r w:rsidR="002439DA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аксесуарів</w:t>
            </w:r>
            <w:proofErr w:type="spellEnd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для</w:t>
            </w:r>
            <w:proofErr w:type="spellEnd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науки</w:t>
            </w:r>
            <w:proofErr w:type="spellEnd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про</w:t>
            </w:r>
            <w:proofErr w:type="spellEnd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життя</w:t>
            </w:r>
            <w:proofErr w:type="spellEnd"/>
            <w:r w:rsidR="002439DA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Складаєтьсяз: 50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шт</w:t>
            </w:r>
            <w:proofErr w:type="spellEnd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. жорстких маркерів діаметром 9,5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мм</w:t>
            </w:r>
            <w:proofErr w:type="spellEnd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на</w:t>
            </w:r>
            <w:proofErr w:type="spellEnd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пластикових</w:t>
            </w:r>
            <w:proofErr w:type="spellEnd"/>
            <w:r w:rsidR="002439DA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основах</w:t>
            </w:r>
            <w:proofErr w:type="spellEnd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, 50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шт</w:t>
            </w:r>
            <w:proofErr w:type="spellEnd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. жорстких маркерів діаметром 14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мм</w:t>
            </w:r>
            <w:proofErr w:type="spellEnd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на</w:t>
            </w:r>
            <w:proofErr w:type="spellEnd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пластикових</w:t>
            </w:r>
            <w:proofErr w:type="spellEnd"/>
            <w:r w:rsidR="002439DA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основах</w:t>
            </w:r>
            <w:proofErr w:type="spellEnd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, 2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рулони</w:t>
            </w:r>
            <w:proofErr w:type="spellEnd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двосторонньої</w:t>
            </w:r>
            <w:proofErr w:type="spellEnd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стрічки</w:t>
            </w:r>
            <w:proofErr w:type="spellEnd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, 5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рулонів</w:t>
            </w:r>
            <w:proofErr w:type="spellEnd"/>
            <w:r w:rsidR="002439DA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стрічки</w:t>
            </w:r>
            <w:proofErr w:type="spellEnd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Micropore,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ножиць</w:t>
            </w:r>
            <w:proofErr w:type="spellEnd"/>
            <w:r w:rsidR="002439DA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і</w:t>
            </w:r>
            <w:r w:rsidR="002439DA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вимірювальної</w:t>
            </w:r>
            <w:proofErr w:type="spellEnd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стрічки</w:t>
            </w:r>
            <w:proofErr w:type="spellEnd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Seca.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Постачається</w:t>
            </w:r>
            <w:proofErr w:type="spellEnd"/>
            <w:r w:rsidR="002439DA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в</w:t>
            </w:r>
            <w:r w:rsidR="002439DA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чорному</w:t>
            </w:r>
            <w:proofErr w:type="spellEnd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пластиковому</w:t>
            </w:r>
            <w:proofErr w:type="spellEnd"/>
            <w:r w:rsidR="002439DA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кейсі</w:t>
            </w:r>
            <w:proofErr w:type="spellEnd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. – 1 </w:t>
            </w:r>
            <w:proofErr w:type="spellStart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комплект</w:t>
            </w:r>
            <w:proofErr w:type="spellEnd"/>
            <w:r w:rsidRPr="00C775C1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.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B4C7AE" w14:textId="20363163" w:rsidR="00441C64" w:rsidRPr="00413AC9" w:rsidRDefault="00441C64" w:rsidP="00413AC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eastAsia="ja-JP"/>
              </w:rPr>
            </w:pPr>
          </w:p>
        </w:tc>
      </w:tr>
      <w:tr w:rsidR="00441C64" w:rsidRPr="00413AC9" w14:paraId="2B61A8AF" w14:textId="77777777" w:rsidTr="00441C64">
        <w:trPr>
          <w:trHeight w:val="20"/>
        </w:trPr>
        <w:tc>
          <w:tcPr>
            <w:tcW w:w="84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5C33AE" w14:textId="52E8531C" w:rsidR="00441C64" w:rsidRPr="00413AC9" w:rsidRDefault="00C775C1" w:rsidP="00C775C1">
            <w:pPr>
              <w:widowControl w:val="0"/>
              <w:suppressAutoHyphens/>
              <w:autoSpaceDE w:val="0"/>
              <w:spacing w:after="0" w:line="240" w:lineRule="auto"/>
              <w:ind w:left="12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3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F3F6B" w14:textId="16D05C25" w:rsidR="006C6E36" w:rsidRPr="008E1707" w:rsidRDefault="006C6E36" w:rsidP="008E1707">
            <w:pPr>
              <w:pStyle w:val="a3"/>
              <w:numPr>
                <w:ilvl w:val="1"/>
                <w:numId w:val="24"/>
              </w:numPr>
              <w:spacing w:after="0" w:line="240" w:lineRule="auto"/>
              <w:ind w:left="265" w:hanging="29"/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</w:pP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Vicon Nexus 2.0 Vicon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Nexus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- це наш універсальний програмний пакет для науки про життя, який використовується для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калібрування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системи, захоплення даних, після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обробки та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аналізу, а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також експорту даних. Нові функції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включають повністю перероблений та надійний рушій для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реального часу для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отримання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чистих даних, інструменти для пошуку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в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базі даних, автоматизоване маркування, можливість пакетної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обробки пропусків, інтелектуальні монітори та функціональні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опції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калібрування, моделі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 відкритим кодом, проста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ліцензія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і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багато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іншого. Приймає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та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зберігає цифрові сигнали для пристроїв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сторонніх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виробників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через плагіни для цифрових пристроїв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Vicon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, розроблені інтеграційними партнерами. Здатність підтримувати до 8 синхронізованих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кадрів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та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каліброваних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відеокамер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Vicon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Vue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або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Bonita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або FLIR для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наложення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живого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відео, відтворення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та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експорту. Включає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Plug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in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Gait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.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Целіцензія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для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одного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робочого місця. Встановлюється як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мережеваліцензія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, автономна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ліцензія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або пов'язується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ключем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SafeNet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за додаткову плату– 1 шт. </w:t>
            </w:r>
          </w:p>
          <w:p w14:paraId="2214A2EE" w14:textId="03F4C8D9" w:rsidR="00441C64" w:rsidRPr="008E1707" w:rsidRDefault="006C6E36" w:rsidP="008E1707">
            <w:pPr>
              <w:pStyle w:val="a3"/>
              <w:numPr>
                <w:ilvl w:val="1"/>
                <w:numId w:val="24"/>
              </w:numPr>
              <w:spacing w:after="0" w:line="240" w:lineRule="auto"/>
              <w:ind w:left="265" w:hanging="29"/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</w:pP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Nexus Insight 1.0 Nexus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Insight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–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це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ексклюзивний інструмент для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звітності, спеціально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розроблений для науки про життя.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Insight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оптимізує процеси,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зекономлює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час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та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спрощує порівняння даних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завдяки своїм зручними функціями, стильному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викладенню та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великим можливостям налаштування, він виводить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складність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зі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звітності.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Д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ля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завантаження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як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ліцензія для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одного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робочого місця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і може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бути встановлений як мережева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ліцензія, автономна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ліцензія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або пов'язаний з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ключем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SafeNet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за додаткову плату. Хмарні послуги є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окремими і потребують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угоди з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Moveshelf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. – 1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шт</w:t>
            </w:r>
            <w:proofErr w:type="spellEnd"/>
            <w:r w:rsidR="004B48A4"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;</w:t>
            </w:r>
          </w:p>
          <w:p w14:paraId="19DFEE91" w14:textId="459F29D5" w:rsidR="004B48A4" w:rsidRPr="008E1707" w:rsidRDefault="004B48A4" w:rsidP="008E1707">
            <w:pPr>
              <w:pStyle w:val="a3"/>
              <w:numPr>
                <w:ilvl w:val="1"/>
                <w:numId w:val="24"/>
              </w:numPr>
              <w:spacing w:after="0" w:line="240" w:lineRule="auto"/>
              <w:ind w:left="265" w:hanging="29"/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</w:pP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Гарантія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на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систему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Vicon 12 місяців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 моменту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встановлення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або 14 місяців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 дати відвантаження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без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встановлення, включаючи: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н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еобмежену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телефонну технічну підтримку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, у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сунення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несправностей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, н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еобмежену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електронну пошту технічної підтримки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, н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еобмежену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веб-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lastRenderedPageBreak/>
              <w:t>технічну підтримку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, д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оступ до форуму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Vicon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, в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ипуски програмного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забезпечення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, до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ступ до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онлайн-довідників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та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відео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Vicon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(логін VOS)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, д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оступ до необмеженої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кількості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онлайн-курсів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університету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Vicon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,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в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ддалені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послуги з навчання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.</w:t>
            </w:r>
          </w:p>
          <w:p w14:paraId="1D6D6197" w14:textId="468E9076" w:rsidR="004B48A4" w:rsidRPr="008E1707" w:rsidRDefault="004B48A4" w:rsidP="008E1707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265" w:hanging="29"/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</w:pP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Гарантія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на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з/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частини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та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роботи. – 1 шт. </w:t>
            </w:r>
          </w:p>
          <w:p w14:paraId="357DB953" w14:textId="74A4B972" w:rsidR="008E1707" w:rsidRPr="008E1707" w:rsidRDefault="004B48A4" w:rsidP="008E1707">
            <w:pPr>
              <w:pStyle w:val="a3"/>
              <w:numPr>
                <w:ilvl w:val="1"/>
                <w:numId w:val="24"/>
              </w:numPr>
              <w:spacing w:after="0" w:line="240" w:lineRule="auto"/>
              <w:ind w:left="265" w:hanging="29"/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</w:pP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Встановлення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,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налаштування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та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навчання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на міс</w:t>
            </w:r>
            <w:r w:rsidR="008E1707"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ці; </w:t>
            </w:r>
          </w:p>
          <w:p w14:paraId="09377A46" w14:textId="03ED5017" w:rsidR="004B48A4" w:rsidRPr="008E1707" w:rsidRDefault="004B48A4" w:rsidP="008E1707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265" w:hanging="29"/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</w:pP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Встановлення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,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налаштування</w:t>
            </w:r>
            <w:proofErr w:type="spellEnd"/>
            <w:r w:rsidR="008E1707"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та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навчання</w:t>
            </w:r>
            <w:proofErr w:type="spellEnd"/>
            <w:r w:rsidR="008E1707"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</w:t>
            </w:r>
            <w:r w:rsidR="008E1707"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інженером(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ами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)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Vicon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на місці, за ден</w:t>
            </w:r>
            <w:r w:rsidR="008E1707"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ь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="008E1707"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(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усі</w:t>
            </w:r>
            <w:r w:rsidR="008E1707"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витрати на подорожі</w:t>
            </w:r>
            <w:r w:rsidR="008E1707"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включені</w:t>
            </w:r>
            <w:r w:rsidR="008E1707"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)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Примітка: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Vicon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не несе відповідальності</w:t>
            </w:r>
            <w:r w:rsidR="008E1707"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за</w:t>
            </w:r>
            <w:r w:rsidR="008E1707"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встановлення</w:t>
            </w:r>
            <w:r w:rsidR="008E1707"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кронштейнів на</w:t>
            </w:r>
            <w:r w:rsidR="008E1707"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стіну</w:t>
            </w:r>
            <w:r w:rsidR="008E1707"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або</w:t>
            </w:r>
            <w:r w:rsidR="008E1707"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систем кріплення на</w:t>
            </w:r>
            <w:r w:rsidR="008E1707"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рейку для</w:t>
            </w:r>
            <w:r w:rsidR="008E1707"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камер. Уразі необхідності</w:t>
            </w:r>
            <w:r w:rsidR="008E1707"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вони повинні</w:t>
            </w:r>
            <w:r w:rsidR="008E1707"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бути встановлені до прибуття представника </w:t>
            </w:r>
            <w:proofErr w:type="spellStart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Vicon</w:t>
            </w:r>
            <w:proofErr w:type="spellEnd"/>
            <w:r w:rsidRPr="008E1707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. – 1 шт.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5A7DA9" w14:textId="69A636C2" w:rsidR="00441C64" w:rsidRPr="008E1707" w:rsidRDefault="00441C64" w:rsidP="008E1707">
            <w:pPr>
              <w:pStyle w:val="a3"/>
              <w:spacing w:after="0" w:line="240" w:lineRule="auto"/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</w:pPr>
          </w:p>
        </w:tc>
      </w:tr>
      <w:tr w:rsidR="00441C64" w:rsidRPr="00413AC9" w14:paraId="557939D2" w14:textId="77777777" w:rsidTr="00441C64">
        <w:trPr>
          <w:trHeight w:val="20"/>
        </w:trPr>
        <w:tc>
          <w:tcPr>
            <w:tcW w:w="84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911BF0" w14:textId="3D115D6A" w:rsidR="00441C64" w:rsidRPr="00413AC9" w:rsidRDefault="00BA73D0" w:rsidP="00441C64">
            <w:pPr>
              <w:widowControl w:val="0"/>
              <w:suppressAutoHyphens/>
              <w:autoSpaceDE w:val="0"/>
              <w:spacing w:after="0" w:line="240" w:lineRule="auto"/>
              <w:ind w:left="12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63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AE75E" w14:textId="77777777" w:rsidR="00BA73D0" w:rsidRPr="00BA73D0" w:rsidRDefault="00BA73D0" w:rsidP="00BA73D0">
            <w:pPr>
              <w:pStyle w:val="a3"/>
              <w:numPr>
                <w:ilvl w:val="1"/>
                <w:numId w:val="25"/>
              </w:numPr>
              <w:spacing w:after="0" w:line="240" w:lineRule="auto"/>
              <w:ind w:left="265" w:hanging="29"/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</w:pP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Референсні</w:t>
            </w:r>
            <w:proofErr w:type="spellEnd"/>
            <w:r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камери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(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використовуються</w:t>
            </w:r>
            <w:proofErr w:type="spellEnd"/>
            <w:r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також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для</w:t>
            </w:r>
            <w:proofErr w:type="spellEnd"/>
            <w:r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безмаркерного</w:t>
            </w:r>
            <w:proofErr w:type="spellEnd"/>
            <w:r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аналізу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)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комплект</w:t>
            </w:r>
            <w:proofErr w:type="spellEnd"/>
            <w:r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камери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та</w:t>
            </w:r>
            <w:proofErr w:type="spellEnd"/>
            <w:r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об'єктива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Синхронізована</w:t>
            </w:r>
            <w:proofErr w:type="spellEnd"/>
            <w:r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кольоров</w:t>
            </w:r>
            <w:proofErr w:type="spellEnd"/>
            <w:r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авідеокамера</w:t>
            </w:r>
            <w:proofErr w:type="spellEnd"/>
            <w:r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</w:t>
            </w:r>
            <w:r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роздільною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здатністю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2,3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Мп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(1980 х 1200 пікселів) зі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швидкістю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знімка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150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кадрів</w:t>
            </w:r>
            <w:proofErr w:type="spellEnd"/>
            <w:r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в</w:t>
            </w:r>
            <w:r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секунду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.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замок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Vicon. – 2 шт. </w:t>
            </w:r>
          </w:p>
          <w:p w14:paraId="65E37DED" w14:textId="77777777" w:rsidR="00BA73D0" w:rsidRPr="00BA73D0" w:rsidRDefault="00BA73D0" w:rsidP="00BA73D0">
            <w:pPr>
              <w:pStyle w:val="a3"/>
              <w:numPr>
                <w:ilvl w:val="1"/>
                <w:numId w:val="25"/>
              </w:numPr>
              <w:spacing w:after="0" w:line="240" w:lineRule="auto"/>
              <w:ind w:left="265" w:hanging="29"/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</w:pPr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20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метрові</w:t>
            </w:r>
            <w:proofErr w:type="spellEnd"/>
            <w:r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кабелі</w:t>
            </w:r>
            <w:proofErr w:type="spellEnd"/>
            <w:r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розширення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1 x 30 метровий довгий кабель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Light-Link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USB, USB 3.0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поволокну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(Цей кабель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призначений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для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підключення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до</w:t>
            </w:r>
            <w:proofErr w:type="spellEnd"/>
            <w:r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кабелю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,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що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надається</w:t>
            </w:r>
            <w:proofErr w:type="spellEnd"/>
            <w:r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</w:t>
            </w:r>
            <w:r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камерою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). </w:t>
            </w:r>
          </w:p>
          <w:p w14:paraId="45E9A246" w14:textId="50CFB51F" w:rsidR="00441C64" w:rsidRPr="00BA73D0" w:rsidRDefault="00BA73D0" w:rsidP="00BA73D0">
            <w:pPr>
              <w:pStyle w:val="a3"/>
              <w:numPr>
                <w:ilvl w:val="1"/>
                <w:numId w:val="25"/>
              </w:numPr>
              <w:spacing w:after="0" w:line="240" w:lineRule="auto"/>
              <w:ind w:left="265" w:hanging="29"/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</w:pPr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2 x 10</w:t>
            </w:r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метрові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одножильні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кабелі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розширення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</w:t>
            </w:r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одним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фоновим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роз'ємом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-</w:t>
            </w:r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чоловічий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роз'єм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RCA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до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жіночого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роз'єму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(Ц</w:t>
            </w:r>
            <w:r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>і к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абелі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призначені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для</w:t>
            </w:r>
            <w:proofErr w:type="spellEnd"/>
            <w:r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розширення</w:t>
            </w:r>
            <w:proofErr w:type="spellEnd"/>
            <w:r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кабелю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,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що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постачається</w:t>
            </w:r>
            <w:proofErr w:type="spellEnd"/>
            <w:r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з</w:t>
            </w:r>
            <w:r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proofErr w:type="spellStart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камерою</w:t>
            </w:r>
            <w:proofErr w:type="spellEnd"/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)</w:t>
            </w:r>
            <w:r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val="uk-UA" w:eastAsia="ja-JP"/>
              </w:rPr>
              <w:t xml:space="preserve"> </w:t>
            </w:r>
            <w:r w:rsidRPr="00BA73D0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ja-JP"/>
              </w:rPr>
              <w:t>– 2 шт.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033A56" w14:textId="2A4C0277" w:rsidR="00441C64" w:rsidRPr="00413AC9" w:rsidRDefault="00441C64" w:rsidP="00413AC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eastAsia="ja-JP"/>
              </w:rPr>
            </w:pPr>
          </w:p>
        </w:tc>
      </w:tr>
    </w:tbl>
    <w:p w14:paraId="03584A0B" w14:textId="77777777" w:rsidR="00C311BC" w:rsidRPr="00413AC9" w:rsidRDefault="00C311BC">
      <w:pPr>
        <w:rPr>
          <w:rFonts w:ascii="Times New Roman" w:hAnsi="Times New Roman" w:cs="Times New Roman"/>
          <w:sz w:val="24"/>
          <w:szCs w:val="24"/>
        </w:rPr>
      </w:pPr>
    </w:p>
    <w:sectPr w:rsidR="00C311BC" w:rsidRPr="00413AC9" w:rsidSect="00441C64">
      <w:headerReference w:type="default" r:id="rId8"/>
      <w:pgSz w:w="11906" w:h="16838"/>
      <w:pgMar w:top="746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EFC30" w14:textId="77777777" w:rsidR="00936FB8" w:rsidRDefault="00936FB8" w:rsidP="00441C64">
      <w:pPr>
        <w:spacing w:after="0" w:line="240" w:lineRule="auto"/>
      </w:pPr>
      <w:r>
        <w:separator/>
      </w:r>
    </w:p>
  </w:endnote>
  <w:endnote w:type="continuationSeparator" w:id="0">
    <w:p w14:paraId="128A3CB3" w14:textId="77777777" w:rsidR="00936FB8" w:rsidRDefault="00936FB8" w:rsidP="004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0229B" w14:textId="77777777" w:rsidR="00936FB8" w:rsidRDefault="00936FB8" w:rsidP="00441C64">
      <w:pPr>
        <w:spacing w:after="0" w:line="240" w:lineRule="auto"/>
      </w:pPr>
      <w:r>
        <w:separator/>
      </w:r>
    </w:p>
  </w:footnote>
  <w:footnote w:type="continuationSeparator" w:id="0">
    <w:p w14:paraId="48340772" w14:textId="77777777" w:rsidR="00936FB8" w:rsidRDefault="00936FB8" w:rsidP="004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BDC60" w14:textId="67CCB134" w:rsidR="00441C64" w:rsidRDefault="00441C64" w:rsidP="00441C64">
    <w:pPr>
      <w:pStyle w:val="a7"/>
      <w:jc w:val="right"/>
    </w:pPr>
    <w:r>
      <w:rPr>
        <w:noProof/>
        <w:sz w:val="20"/>
        <w:szCs w:val="20"/>
      </w:rPr>
      <w:drawing>
        <wp:inline distT="114300" distB="114300" distL="114300" distR="114300" wp14:anchorId="0D406D93" wp14:editId="32B6F853">
          <wp:extent cx="2545080" cy="403860"/>
          <wp:effectExtent l="0" t="0" r="7620" b="0"/>
          <wp:docPr id="970185468" name="image1.png" descr="Зображення, що містить Шрифт, текст, Графіка, білий&#10;&#10;Вміст на основі ШІ може бути неправильним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196685" name="image1.png" descr="Зображення, що містить Шрифт, текст, Графіка, білий&#10;&#10;Вміст на основі ШІ може бути неправильним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45301" cy="403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5BFFEC6" w14:textId="77777777" w:rsidR="00441C64" w:rsidRDefault="00441C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10434"/>
    <w:multiLevelType w:val="hybridMultilevel"/>
    <w:tmpl w:val="96640516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90117"/>
    <w:multiLevelType w:val="multilevel"/>
    <w:tmpl w:val="D9368EF2"/>
    <w:lvl w:ilvl="0">
      <w:start w:val="50"/>
      <w:numFmt w:val="decimal"/>
      <w:lvlText w:val="%1"/>
      <w:lvlJc w:val="left"/>
      <w:pPr>
        <w:ind w:left="1061" w:hanging="495"/>
      </w:pPr>
      <w:rPr>
        <w:rFonts w:hint="default"/>
      </w:rPr>
    </w:lvl>
    <w:lvl w:ilvl="1">
      <w:start w:val="60"/>
      <w:numFmt w:val="decimal"/>
      <w:lvlText w:val="%1-%2"/>
      <w:lvlJc w:val="left"/>
      <w:pPr>
        <w:ind w:left="1061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86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64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646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00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00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366" w:hanging="1800"/>
      </w:pPr>
      <w:rPr>
        <w:rFonts w:hint="default"/>
      </w:rPr>
    </w:lvl>
  </w:abstractNum>
  <w:abstractNum w:abstractNumId="2" w15:restartNumberingAfterBreak="0">
    <w:nsid w:val="06866493"/>
    <w:multiLevelType w:val="hybridMultilevel"/>
    <w:tmpl w:val="C74EAF56"/>
    <w:lvl w:ilvl="0" w:tplc="B4C8E33C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0F1574"/>
    <w:multiLevelType w:val="hybridMultilevel"/>
    <w:tmpl w:val="18F27620"/>
    <w:lvl w:ilvl="0" w:tplc="C194EC38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152548"/>
    <w:multiLevelType w:val="multilevel"/>
    <w:tmpl w:val="D80AA870"/>
    <w:lvl w:ilvl="0">
      <w:start w:val="8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3A53DD"/>
    <w:multiLevelType w:val="hybridMultilevel"/>
    <w:tmpl w:val="267820E8"/>
    <w:lvl w:ilvl="0" w:tplc="49C2100A">
      <w:start w:val="1"/>
      <w:numFmt w:val="decimal"/>
      <w:lvlText w:val="1.%1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23A34AC"/>
    <w:multiLevelType w:val="hybridMultilevel"/>
    <w:tmpl w:val="17824F1E"/>
    <w:lvl w:ilvl="0" w:tplc="1E2E4616">
      <w:start w:val="1"/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7" w15:restartNumberingAfterBreak="0">
    <w:nsid w:val="315F49B0"/>
    <w:multiLevelType w:val="hybridMultilevel"/>
    <w:tmpl w:val="5F2A467E"/>
    <w:lvl w:ilvl="0" w:tplc="4C04858E">
      <w:start w:val="1"/>
      <w:numFmt w:val="decimal"/>
      <w:lvlText w:val="8.%1"/>
      <w:lvlJc w:val="center"/>
      <w:pPr>
        <w:ind w:left="65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19" w:hanging="180"/>
      </w:pPr>
      <w:rPr>
        <w:rFonts w:cs="Times New Roman"/>
      </w:rPr>
    </w:lvl>
  </w:abstractNum>
  <w:abstractNum w:abstractNumId="8" w15:restartNumberingAfterBreak="0">
    <w:nsid w:val="33E7731F"/>
    <w:multiLevelType w:val="hybridMultilevel"/>
    <w:tmpl w:val="8636261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C828C8"/>
    <w:multiLevelType w:val="hybridMultilevel"/>
    <w:tmpl w:val="685AA0A2"/>
    <w:lvl w:ilvl="0" w:tplc="0B3EA65E">
      <w:start w:val="1"/>
      <w:numFmt w:val="decimal"/>
      <w:lvlText w:val="6.%1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B5E4220"/>
    <w:multiLevelType w:val="hybridMultilevel"/>
    <w:tmpl w:val="1D081AC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BD0112"/>
    <w:multiLevelType w:val="hybridMultilevel"/>
    <w:tmpl w:val="816C7F5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D4986"/>
    <w:multiLevelType w:val="hybridMultilevel"/>
    <w:tmpl w:val="41FCD562"/>
    <w:lvl w:ilvl="0" w:tplc="3CB687DC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182C0C"/>
    <w:multiLevelType w:val="hybridMultilevel"/>
    <w:tmpl w:val="0750F00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B472103"/>
    <w:multiLevelType w:val="hybridMultilevel"/>
    <w:tmpl w:val="5D2A935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080783C">
      <w:start w:val="10"/>
      <w:numFmt w:val="bullet"/>
      <w:lvlText w:val="-"/>
      <w:lvlJc w:val="left"/>
      <w:pPr>
        <w:ind w:left="1440" w:hanging="360"/>
      </w:pPr>
      <w:rPr>
        <w:rFonts w:ascii="Times New Roman" w:eastAsia="MS Mincho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051B3E"/>
    <w:multiLevelType w:val="hybridMultilevel"/>
    <w:tmpl w:val="0840F22C"/>
    <w:lvl w:ilvl="0" w:tplc="FFFFFFFF">
      <w:start w:val="1"/>
      <w:numFmt w:val="decimal"/>
      <w:lvlText w:val="7.%1"/>
      <w:lvlJc w:val="left"/>
      <w:pPr>
        <w:ind w:left="50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696D76"/>
    <w:multiLevelType w:val="hybridMultilevel"/>
    <w:tmpl w:val="2266EC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25A09FF"/>
    <w:multiLevelType w:val="multilevel"/>
    <w:tmpl w:val="F4948AA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92" w:hanging="432"/>
      </w:pPr>
    </w:lvl>
    <w:lvl w:ilvl="2">
      <w:start w:val="1"/>
      <w:numFmt w:val="decimal"/>
      <w:lvlText w:val="%1.%2.%3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CE924EC"/>
    <w:multiLevelType w:val="hybridMultilevel"/>
    <w:tmpl w:val="70F6F8BA"/>
    <w:lvl w:ilvl="0" w:tplc="042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E6C237C"/>
    <w:multiLevelType w:val="multilevel"/>
    <w:tmpl w:val="2C261424"/>
    <w:lvl w:ilvl="0">
      <w:start w:val="40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8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4EF7C0A"/>
    <w:multiLevelType w:val="multilevel"/>
    <w:tmpl w:val="50F079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0791ADB"/>
    <w:multiLevelType w:val="hybridMultilevel"/>
    <w:tmpl w:val="0840F22C"/>
    <w:lvl w:ilvl="0" w:tplc="391C3D7C">
      <w:start w:val="1"/>
      <w:numFmt w:val="decimal"/>
      <w:lvlText w:val="7.%1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1A52239"/>
    <w:multiLevelType w:val="hybridMultilevel"/>
    <w:tmpl w:val="2522CDBE"/>
    <w:lvl w:ilvl="0" w:tplc="7E30762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C313F8"/>
    <w:multiLevelType w:val="hybridMultilevel"/>
    <w:tmpl w:val="6744FD16"/>
    <w:lvl w:ilvl="0" w:tplc="12ACC1C4">
      <w:start w:val="1"/>
      <w:numFmt w:val="decimal"/>
      <w:lvlText w:val="2.%1"/>
      <w:lvlJc w:val="left"/>
      <w:pPr>
        <w:ind w:left="502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45FC6"/>
    <w:multiLevelType w:val="hybridMultilevel"/>
    <w:tmpl w:val="618E0D0E"/>
    <w:lvl w:ilvl="0" w:tplc="19680844">
      <w:start w:val="1"/>
      <w:numFmt w:val="decimal"/>
      <w:lvlText w:val="4.%1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85555257">
    <w:abstractNumId w:val="5"/>
  </w:num>
  <w:num w:numId="2" w16cid:durableId="291599449">
    <w:abstractNumId w:val="23"/>
  </w:num>
  <w:num w:numId="3" w16cid:durableId="1736468208">
    <w:abstractNumId w:val="2"/>
  </w:num>
  <w:num w:numId="4" w16cid:durableId="1028989898">
    <w:abstractNumId w:val="24"/>
  </w:num>
  <w:num w:numId="5" w16cid:durableId="726950509">
    <w:abstractNumId w:val="3"/>
  </w:num>
  <w:num w:numId="6" w16cid:durableId="29694724">
    <w:abstractNumId w:val="9"/>
  </w:num>
  <w:num w:numId="7" w16cid:durableId="1901670734">
    <w:abstractNumId w:val="21"/>
  </w:num>
  <w:num w:numId="8" w16cid:durableId="1925407857">
    <w:abstractNumId w:val="7"/>
  </w:num>
  <w:num w:numId="9" w16cid:durableId="1970747560">
    <w:abstractNumId w:val="6"/>
  </w:num>
  <w:num w:numId="10" w16cid:durableId="636836870">
    <w:abstractNumId w:val="15"/>
  </w:num>
  <w:num w:numId="11" w16cid:durableId="1021125849">
    <w:abstractNumId w:val="20"/>
  </w:num>
  <w:num w:numId="12" w16cid:durableId="2428781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35431445">
    <w:abstractNumId w:val="17"/>
  </w:num>
  <w:num w:numId="14" w16cid:durableId="680477128">
    <w:abstractNumId w:val="4"/>
  </w:num>
  <w:num w:numId="15" w16cid:durableId="1684942179">
    <w:abstractNumId w:val="19"/>
  </w:num>
  <w:num w:numId="16" w16cid:durableId="1189831598">
    <w:abstractNumId w:val="1"/>
  </w:num>
  <w:num w:numId="17" w16cid:durableId="831020732">
    <w:abstractNumId w:val="12"/>
  </w:num>
  <w:num w:numId="18" w16cid:durableId="95561441">
    <w:abstractNumId w:val="13"/>
  </w:num>
  <w:num w:numId="19" w16cid:durableId="1352878396">
    <w:abstractNumId w:val="11"/>
  </w:num>
  <w:num w:numId="20" w16cid:durableId="818153146">
    <w:abstractNumId w:val="22"/>
  </w:num>
  <w:num w:numId="21" w16cid:durableId="1753428483">
    <w:abstractNumId w:val="18"/>
  </w:num>
  <w:num w:numId="22" w16cid:durableId="1736705612">
    <w:abstractNumId w:val="14"/>
  </w:num>
  <w:num w:numId="23" w16cid:durableId="717047083">
    <w:abstractNumId w:val="10"/>
  </w:num>
  <w:num w:numId="24" w16cid:durableId="750082962">
    <w:abstractNumId w:val="8"/>
  </w:num>
  <w:num w:numId="25" w16cid:durableId="1820001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A6C"/>
    <w:rsid w:val="000A4D21"/>
    <w:rsid w:val="000D2685"/>
    <w:rsid w:val="000F3314"/>
    <w:rsid w:val="000F7F94"/>
    <w:rsid w:val="001662EB"/>
    <w:rsid w:val="001762F9"/>
    <w:rsid w:val="001C6EED"/>
    <w:rsid w:val="002439DA"/>
    <w:rsid w:val="00255180"/>
    <w:rsid w:val="00287F3B"/>
    <w:rsid w:val="00293AFB"/>
    <w:rsid w:val="002C32C7"/>
    <w:rsid w:val="00315DA7"/>
    <w:rsid w:val="003F5D79"/>
    <w:rsid w:val="00413AC9"/>
    <w:rsid w:val="00440A79"/>
    <w:rsid w:val="00441C64"/>
    <w:rsid w:val="00451F83"/>
    <w:rsid w:val="004A726B"/>
    <w:rsid w:val="004B48A4"/>
    <w:rsid w:val="004E1B1F"/>
    <w:rsid w:val="004E6375"/>
    <w:rsid w:val="00516637"/>
    <w:rsid w:val="00527D4B"/>
    <w:rsid w:val="005A6D6D"/>
    <w:rsid w:val="005D798F"/>
    <w:rsid w:val="00602DF8"/>
    <w:rsid w:val="00603744"/>
    <w:rsid w:val="006264F7"/>
    <w:rsid w:val="006C6E36"/>
    <w:rsid w:val="006E71EF"/>
    <w:rsid w:val="00766815"/>
    <w:rsid w:val="007F141A"/>
    <w:rsid w:val="008E1707"/>
    <w:rsid w:val="00936FB8"/>
    <w:rsid w:val="00A00913"/>
    <w:rsid w:val="00A03BD1"/>
    <w:rsid w:val="00A441BC"/>
    <w:rsid w:val="00AD04F5"/>
    <w:rsid w:val="00B96DC4"/>
    <w:rsid w:val="00BA73D0"/>
    <w:rsid w:val="00BD405F"/>
    <w:rsid w:val="00C311BC"/>
    <w:rsid w:val="00C731C2"/>
    <w:rsid w:val="00C775C1"/>
    <w:rsid w:val="00CF4466"/>
    <w:rsid w:val="00D05D32"/>
    <w:rsid w:val="00D30B86"/>
    <w:rsid w:val="00D63B95"/>
    <w:rsid w:val="00D908E5"/>
    <w:rsid w:val="00DD4C95"/>
    <w:rsid w:val="00DD6A6C"/>
    <w:rsid w:val="00F77D46"/>
    <w:rsid w:val="00FD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A1342"/>
  <w15:docId w15:val="{852083FC-72BB-46CC-807B-DB02CC9E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7D46"/>
    <w:rPr>
      <w:rFonts w:ascii="Calibri" w:eastAsia="Calibri" w:hAnsi="Calibri" w:cs="Calibri"/>
      <w:lang w:eastAsia="ru-RU"/>
    </w:rPr>
  </w:style>
  <w:style w:type="paragraph" w:styleId="4">
    <w:name w:val="heading 4"/>
    <w:basedOn w:val="a"/>
    <w:next w:val="a"/>
    <w:link w:val="40"/>
    <w:semiHidden/>
    <w:rsid w:val="00C311BC"/>
    <w:pPr>
      <w:keepNext/>
      <w:spacing w:before="240" w:after="60" w:line="240" w:lineRule="auto"/>
      <w:outlineLvl w:val="3"/>
    </w:pPr>
    <w:rPr>
      <w:rFonts w:eastAsia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1BC"/>
    <w:pPr>
      <w:ind w:left="720"/>
      <w:contextualSpacing/>
    </w:pPr>
    <w:rPr>
      <w:rFonts w:cs="Times New Roman"/>
      <w:lang w:val="en-US" w:eastAsia="en-US" w:bidi="en-US"/>
    </w:rPr>
  </w:style>
  <w:style w:type="paragraph" w:styleId="a4">
    <w:name w:val="Body Text Indent"/>
    <w:basedOn w:val="a"/>
    <w:link w:val="a5"/>
    <w:rsid w:val="00C311B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ий текст з відступом Знак"/>
    <w:basedOn w:val="a0"/>
    <w:link w:val="a4"/>
    <w:rsid w:val="00C311B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No Spacing"/>
    <w:uiPriority w:val="1"/>
    <w:qFormat/>
    <w:rsid w:val="00C311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0">
    <w:name w:val="Заголовок 4 Знак"/>
    <w:basedOn w:val="a0"/>
    <w:link w:val="4"/>
    <w:semiHidden/>
    <w:rsid w:val="00C311BC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7">
    <w:name w:val="header"/>
    <w:basedOn w:val="a"/>
    <w:link w:val="a8"/>
    <w:uiPriority w:val="99"/>
    <w:unhideWhenUsed/>
    <w:rsid w:val="00441C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41C64"/>
    <w:rPr>
      <w:rFonts w:ascii="Calibri" w:eastAsia="Calibri" w:hAnsi="Calibri" w:cs="Calibri"/>
      <w:lang w:eastAsia="ru-RU"/>
    </w:rPr>
  </w:style>
  <w:style w:type="paragraph" w:styleId="a9">
    <w:name w:val="footer"/>
    <w:basedOn w:val="a"/>
    <w:link w:val="aa"/>
    <w:uiPriority w:val="99"/>
    <w:unhideWhenUsed/>
    <w:rsid w:val="00441C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41C64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70DB5-1681-4D4F-96AE-67DCC2383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3570</Words>
  <Characters>2035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Кузмич</dc:creator>
  <cp:keywords/>
  <dc:description/>
  <cp:lastModifiedBy>Horbachova Antonina</cp:lastModifiedBy>
  <cp:revision>21</cp:revision>
  <dcterms:created xsi:type="dcterms:W3CDTF">2025-11-17T13:26:00Z</dcterms:created>
  <dcterms:modified xsi:type="dcterms:W3CDTF">2026-01-07T14:19:00Z</dcterms:modified>
</cp:coreProperties>
</file>